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43D6" w14:textId="77777777" w:rsidR="00106DB7" w:rsidRDefault="00106DB7" w:rsidP="00166135">
      <w:pPr>
        <w:rPr>
          <w:noProof/>
        </w:rPr>
      </w:pPr>
    </w:p>
    <w:p w14:paraId="34A9286F" w14:textId="77777777" w:rsidR="00580CD9" w:rsidRDefault="00917C3F" w:rsidP="00166135">
      <w:pPr>
        <w:rPr>
          <w:rFonts w:ascii="Arial" w:hAnsi="Arial" w:cs="Arial"/>
          <w:b/>
        </w:rPr>
      </w:pPr>
      <w:bookmarkStart w:id="0" w:name="_Hlk24550009"/>
      <w:bookmarkEnd w:id="0"/>
      <w:r w:rsidRPr="0016613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314E1" wp14:editId="3134DF2B">
                <wp:simplePos x="0" y="0"/>
                <wp:positionH relativeFrom="margin">
                  <wp:posOffset>1196340</wp:posOffset>
                </wp:positionH>
                <wp:positionV relativeFrom="paragraph">
                  <wp:posOffset>243840</wp:posOffset>
                </wp:positionV>
                <wp:extent cx="2971800" cy="9093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CEF4" w14:textId="77777777" w:rsidR="00C83DB3" w:rsidRPr="00580CD9" w:rsidRDefault="00C83DB3" w:rsidP="001661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0CD9">
                              <w:rPr>
                                <w:rFonts w:ascii="Arial" w:hAnsi="Arial" w:cs="Arial"/>
                                <w:b/>
                              </w:rPr>
                              <w:t>Meenal A. Sethna</w:t>
                            </w:r>
                            <w:r w:rsidRPr="00580C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68B2702" w14:textId="77777777" w:rsidR="00C83DB3" w:rsidRPr="00580CD9" w:rsidRDefault="00C83DB3" w:rsidP="001661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0CD9">
                              <w:rPr>
                                <w:rFonts w:ascii="Arial" w:hAnsi="Arial" w:cs="Arial"/>
                              </w:rPr>
                              <w:t xml:space="preserve">Executive Vice President and Chief Financial Officer </w:t>
                            </w:r>
                          </w:p>
                          <w:p w14:paraId="73642C53" w14:textId="77777777" w:rsidR="00C83DB3" w:rsidRPr="00580CD9" w:rsidRDefault="00C83DB3" w:rsidP="001661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0CD9">
                              <w:rPr>
                                <w:rFonts w:ascii="Arial" w:hAnsi="Arial" w:cs="Arial"/>
                              </w:rPr>
                              <w:t>Littelfuse Inc. (NASDAQ: LFUS)</w:t>
                            </w:r>
                          </w:p>
                          <w:p w14:paraId="6505599F" w14:textId="77777777" w:rsidR="00C83DB3" w:rsidRDefault="00C83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31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pt;margin-top:19.2pt;width:234pt;height:7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" stroked="f">
                <v:textbox>
                  <w:txbxContent>
                    <w:p w14:paraId="30B7CEF4" w14:textId="77777777" w:rsidR="00C83DB3" w:rsidRPr="00580CD9" w:rsidRDefault="00C83DB3" w:rsidP="00166135">
                      <w:pPr>
                        <w:rPr>
                          <w:rFonts w:ascii="Arial" w:hAnsi="Arial" w:cs="Arial"/>
                        </w:rPr>
                      </w:pPr>
                      <w:r w:rsidRPr="00580CD9">
                        <w:rPr>
                          <w:rFonts w:ascii="Arial" w:hAnsi="Arial" w:cs="Arial"/>
                          <w:b/>
                        </w:rPr>
                        <w:t>Meenal A. Sethna</w:t>
                      </w:r>
                      <w:r w:rsidRPr="00580CD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68B2702" w14:textId="77777777" w:rsidR="00C83DB3" w:rsidRPr="00580CD9" w:rsidRDefault="00C83DB3" w:rsidP="00166135">
                      <w:pPr>
                        <w:rPr>
                          <w:rFonts w:ascii="Arial" w:hAnsi="Arial" w:cs="Arial"/>
                        </w:rPr>
                      </w:pPr>
                      <w:r w:rsidRPr="00580CD9">
                        <w:rPr>
                          <w:rFonts w:ascii="Arial" w:hAnsi="Arial" w:cs="Arial"/>
                        </w:rPr>
                        <w:t xml:space="preserve">Executive Vice President and Chief Financial Officer </w:t>
                      </w:r>
                    </w:p>
                    <w:p w14:paraId="73642C53" w14:textId="77777777" w:rsidR="00C83DB3" w:rsidRPr="00580CD9" w:rsidRDefault="00C83DB3" w:rsidP="00166135">
                      <w:pPr>
                        <w:rPr>
                          <w:rFonts w:ascii="Arial" w:hAnsi="Arial" w:cs="Arial"/>
                        </w:rPr>
                      </w:pPr>
                      <w:r w:rsidRPr="00580CD9">
                        <w:rPr>
                          <w:rFonts w:ascii="Arial" w:hAnsi="Arial" w:cs="Arial"/>
                        </w:rPr>
                        <w:t>Littelfuse Inc. (NASDAQ: LFUS)</w:t>
                      </w:r>
                    </w:p>
                    <w:p w14:paraId="6505599F" w14:textId="77777777" w:rsidR="00C83DB3" w:rsidRDefault="00C83DB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4624FE2" wp14:editId="5A9F7415">
            <wp:extent cx="1054608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nal Sethna P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103F0" w14:textId="77777777" w:rsidR="00580CD9" w:rsidRDefault="00580CD9" w:rsidP="00166135">
      <w:pPr>
        <w:rPr>
          <w:rFonts w:ascii="Arial" w:hAnsi="Arial" w:cs="Arial"/>
          <w:b/>
        </w:rPr>
      </w:pPr>
    </w:p>
    <w:p w14:paraId="6880F151" w14:textId="77777777" w:rsidR="00930B34" w:rsidRDefault="00930B34" w:rsidP="00106DB7">
      <w:pPr>
        <w:rPr>
          <w:rFonts w:ascii="Arial" w:hAnsi="Arial" w:cs="Arial"/>
        </w:rPr>
      </w:pPr>
    </w:p>
    <w:p w14:paraId="35B6962E" w14:textId="52182326" w:rsidR="00917C3F" w:rsidRPr="006E41C2" w:rsidRDefault="00446D91" w:rsidP="00917C3F">
      <w:pPr>
        <w:rPr>
          <w:rFonts w:ascii="Arial" w:hAnsi="Arial" w:cs="Arial"/>
        </w:rPr>
      </w:pPr>
      <w:r>
        <w:rPr>
          <w:rFonts w:ascii="Arial" w:hAnsi="Arial" w:cs="Arial"/>
        </w:rPr>
        <w:t>Meenal Sethna, Executive Vice President and Chief Financial Officer, joined Littelfuse in May 2015 and is responsible for finance and accounting, investor relations, mergers and acquisitions, digital and information technology</w:t>
      </w:r>
      <w:r w:rsidR="003D7F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internal audit</w:t>
      </w:r>
      <w:r w:rsidR="003D7FCB">
        <w:rPr>
          <w:rFonts w:ascii="Arial" w:hAnsi="Arial" w:cs="Arial"/>
        </w:rPr>
        <w:t xml:space="preserve"> and supply chain</w:t>
      </w:r>
      <w:r>
        <w:rPr>
          <w:rFonts w:ascii="Arial" w:hAnsi="Arial" w:cs="Arial"/>
        </w:rPr>
        <w:t xml:space="preserve">. Prior to joining Littelfuse, Ms. Sethna spent four years at Illinois Tool Works as Vice President and Corporate Controller. </w:t>
      </w:r>
      <w:proofErr w:type="gramStart"/>
      <w:r>
        <w:rPr>
          <w:rFonts w:ascii="Arial" w:hAnsi="Arial" w:cs="Arial"/>
        </w:rPr>
        <w:t>Previous to</w:t>
      </w:r>
      <w:proofErr w:type="gramEnd"/>
      <w:r>
        <w:rPr>
          <w:rFonts w:ascii="Arial" w:hAnsi="Arial" w:cs="Arial"/>
        </w:rPr>
        <w:t xml:space="preserve"> that, she worked at Motorola Inc., most recently as Vice President, Finance. She began her career at Baxter International, holding a variety of finance roles during her tenure. Ms. Sethna is a graduate of the Kellogg School of Management at Northwestern University and the University of Illinois-Urbana</w:t>
      </w:r>
      <w:r w:rsidR="00917C3F">
        <w:rPr>
          <w:rFonts w:ascii="Arial" w:hAnsi="Arial" w:cs="Arial"/>
        </w:rPr>
        <w:t xml:space="preserve">. </w:t>
      </w:r>
      <w:r w:rsidR="00917C3F" w:rsidRPr="006E41C2">
        <w:rPr>
          <w:rFonts w:ascii="Arial" w:hAnsi="Arial" w:cs="Arial"/>
        </w:rPr>
        <w:t xml:space="preserve">She has served on the board of directors of SPX Corporation since October 2019 and is a member of its </w:t>
      </w:r>
      <w:proofErr w:type="gramStart"/>
      <w:r w:rsidR="00917C3F" w:rsidRPr="006E41C2">
        <w:rPr>
          <w:rFonts w:ascii="Arial" w:hAnsi="Arial" w:cs="Arial"/>
        </w:rPr>
        <w:t>audit</w:t>
      </w:r>
      <w:r w:rsidR="007858E1">
        <w:rPr>
          <w:rFonts w:ascii="Arial" w:hAnsi="Arial" w:cs="Arial"/>
        </w:rPr>
        <w:t>,</w:t>
      </w:r>
      <w:r w:rsidR="00F168CF">
        <w:rPr>
          <w:rFonts w:ascii="Arial" w:hAnsi="Arial" w:cs="Arial"/>
        </w:rPr>
        <w:t xml:space="preserve"> and</w:t>
      </w:r>
      <w:proofErr w:type="gramEnd"/>
      <w:r w:rsidR="00F168CF">
        <w:rPr>
          <w:rFonts w:ascii="Arial" w:hAnsi="Arial" w:cs="Arial"/>
        </w:rPr>
        <w:t xml:space="preserve"> nominating </w:t>
      </w:r>
      <w:r w:rsidR="007858E1">
        <w:rPr>
          <w:rFonts w:ascii="Arial" w:hAnsi="Arial" w:cs="Arial"/>
        </w:rPr>
        <w:t>and</w:t>
      </w:r>
      <w:r w:rsidR="00F168CF">
        <w:rPr>
          <w:rFonts w:ascii="Arial" w:hAnsi="Arial" w:cs="Arial"/>
        </w:rPr>
        <w:t xml:space="preserve"> governance</w:t>
      </w:r>
      <w:r w:rsidR="00917C3F" w:rsidRPr="006E41C2">
        <w:rPr>
          <w:rFonts w:ascii="Arial" w:hAnsi="Arial" w:cs="Arial"/>
        </w:rPr>
        <w:t xml:space="preserve"> committee</w:t>
      </w:r>
      <w:r w:rsidR="00F168CF">
        <w:rPr>
          <w:rFonts w:ascii="Arial" w:hAnsi="Arial" w:cs="Arial"/>
        </w:rPr>
        <w:t>s</w:t>
      </w:r>
      <w:r w:rsidR="00917C3F" w:rsidRPr="006E41C2">
        <w:rPr>
          <w:rFonts w:ascii="Arial" w:hAnsi="Arial" w:cs="Arial"/>
        </w:rPr>
        <w:t xml:space="preserve">. </w:t>
      </w:r>
      <w:r w:rsidR="00917C3F" w:rsidRPr="006E41C2">
        <w:rPr>
          <w:rFonts w:ascii="Arial" w:hAnsi="Arial" w:cs="Arial"/>
          <w:color w:val="000000"/>
          <w:shd w:val="clear" w:color="auto" w:fill="FFFFFF"/>
        </w:rPr>
        <w:t>Ms. Sethna is a Certified Public Accountant in Illinois.</w:t>
      </w:r>
    </w:p>
    <w:p w14:paraId="38AC2FD0" w14:textId="77777777" w:rsidR="00446D91" w:rsidRPr="00166135" w:rsidRDefault="00446D91">
      <w:pPr>
        <w:rPr>
          <w:rFonts w:ascii="Arial" w:hAnsi="Arial" w:cs="Arial"/>
        </w:rPr>
      </w:pPr>
    </w:p>
    <w:sectPr w:rsidR="00446D91" w:rsidRPr="00166135" w:rsidSect="00680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7D8D" w14:textId="77777777" w:rsidR="00AC7C4A" w:rsidRDefault="00AC7C4A" w:rsidP="00446D91">
      <w:r>
        <w:separator/>
      </w:r>
    </w:p>
  </w:endnote>
  <w:endnote w:type="continuationSeparator" w:id="0">
    <w:p w14:paraId="4A7AFDB4" w14:textId="77777777" w:rsidR="00AC7C4A" w:rsidRDefault="00AC7C4A" w:rsidP="0044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ACB5" w14:textId="77777777" w:rsidR="00446D91" w:rsidRDefault="00446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F6CA" w14:textId="77777777" w:rsidR="00446D91" w:rsidRDefault="00446D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60A6" w14:textId="77777777" w:rsidR="00446D91" w:rsidRDefault="00446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E87D" w14:textId="77777777" w:rsidR="00AC7C4A" w:rsidRDefault="00AC7C4A" w:rsidP="00446D91">
      <w:r>
        <w:separator/>
      </w:r>
    </w:p>
  </w:footnote>
  <w:footnote w:type="continuationSeparator" w:id="0">
    <w:p w14:paraId="792E0E00" w14:textId="77777777" w:rsidR="00AC7C4A" w:rsidRDefault="00AC7C4A" w:rsidP="0044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165B" w14:textId="77777777" w:rsidR="00446D91" w:rsidRDefault="00446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5BE4" w14:textId="77777777" w:rsidR="00446D91" w:rsidRDefault="00446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E89D" w14:textId="77777777" w:rsidR="00446D91" w:rsidRDefault="00446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67678"/>
    <w:multiLevelType w:val="hybridMultilevel"/>
    <w:tmpl w:val="360A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34"/>
    <w:rsid w:val="00021D2C"/>
    <w:rsid w:val="00035C9E"/>
    <w:rsid w:val="00056E6A"/>
    <w:rsid w:val="0007098A"/>
    <w:rsid w:val="000E74B2"/>
    <w:rsid w:val="00106DB7"/>
    <w:rsid w:val="001130B5"/>
    <w:rsid w:val="00124D79"/>
    <w:rsid w:val="00166135"/>
    <w:rsid w:val="00252F6A"/>
    <w:rsid w:val="00257C3B"/>
    <w:rsid w:val="00272EBD"/>
    <w:rsid w:val="002B39C5"/>
    <w:rsid w:val="002C5026"/>
    <w:rsid w:val="002D007B"/>
    <w:rsid w:val="00324279"/>
    <w:rsid w:val="0032685A"/>
    <w:rsid w:val="003548D7"/>
    <w:rsid w:val="00371A14"/>
    <w:rsid w:val="003C12D1"/>
    <w:rsid w:val="003D7FCB"/>
    <w:rsid w:val="003F5754"/>
    <w:rsid w:val="00446CAE"/>
    <w:rsid w:val="00446D91"/>
    <w:rsid w:val="004C3E6C"/>
    <w:rsid w:val="00513263"/>
    <w:rsid w:val="0051457D"/>
    <w:rsid w:val="0053705E"/>
    <w:rsid w:val="00552F6F"/>
    <w:rsid w:val="005656CE"/>
    <w:rsid w:val="00580CD9"/>
    <w:rsid w:val="005B32CF"/>
    <w:rsid w:val="005C6330"/>
    <w:rsid w:val="005E7634"/>
    <w:rsid w:val="005F0675"/>
    <w:rsid w:val="00652A65"/>
    <w:rsid w:val="00680508"/>
    <w:rsid w:val="006B0927"/>
    <w:rsid w:val="006E6BF6"/>
    <w:rsid w:val="00721012"/>
    <w:rsid w:val="00732B8A"/>
    <w:rsid w:val="0075090D"/>
    <w:rsid w:val="007519B4"/>
    <w:rsid w:val="00770A2E"/>
    <w:rsid w:val="007858E1"/>
    <w:rsid w:val="00790161"/>
    <w:rsid w:val="007A6F97"/>
    <w:rsid w:val="007C5199"/>
    <w:rsid w:val="007F3AA1"/>
    <w:rsid w:val="00821BCE"/>
    <w:rsid w:val="00853831"/>
    <w:rsid w:val="008606E2"/>
    <w:rsid w:val="008762FB"/>
    <w:rsid w:val="00892157"/>
    <w:rsid w:val="008B1240"/>
    <w:rsid w:val="00917C3F"/>
    <w:rsid w:val="00930B34"/>
    <w:rsid w:val="00945A45"/>
    <w:rsid w:val="00952DA0"/>
    <w:rsid w:val="00955AC6"/>
    <w:rsid w:val="009905BE"/>
    <w:rsid w:val="009F26D8"/>
    <w:rsid w:val="009F79BD"/>
    <w:rsid w:val="00A80339"/>
    <w:rsid w:val="00AA6D1E"/>
    <w:rsid w:val="00AC2C1B"/>
    <w:rsid w:val="00AC7C4A"/>
    <w:rsid w:val="00AD55C5"/>
    <w:rsid w:val="00B43197"/>
    <w:rsid w:val="00B5367B"/>
    <w:rsid w:val="00C20352"/>
    <w:rsid w:val="00C3132C"/>
    <w:rsid w:val="00C31B56"/>
    <w:rsid w:val="00C6060E"/>
    <w:rsid w:val="00C83DB3"/>
    <w:rsid w:val="00D268C8"/>
    <w:rsid w:val="00D47824"/>
    <w:rsid w:val="00D829A2"/>
    <w:rsid w:val="00DB4E03"/>
    <w:rsid w:val="00DC5BBA"/>
    <w:rsid w:val="00EE2B17"/>
    <w:rsid w:val="00F168CF"/>
    <w:rsid w:val="00F7244B"/>
    <w:rsid w:val="00FD05CA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5FF3"/>
  <w15:docId w15:val="{BD084E25-A8D5-4863-82B3-802D291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3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Littelfuse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msethna</dc:creator>
  <cp:lastModifiedBy>Elizabeth Saha</cp:lastModifiedBy>
  <cp:revision>2</cp:revision>
  <dcterms:created xsi:type="dcterms:W3CDTF">2022-03-07T17:12:00Z</dcterms:created>
  <dcterms:modified xsi:type="dcterms:W3CDTF">2022-03-07T17:12:00Z</dcterms:modified>
</cp:coreProperties>
</file>